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</w:t>
      </w:r>
      <w:r>
        <w:rPr>
          <w:rFonts w:hint="eastAsia"/>
          <w:b/>
          <w:bCs/>
          <w:sz w:val="30"/>
          <w:szCs w:val="30"/>
          <w:lang w:eastAsia="zh-CN"/>
        </w:rPr>
        <w:t>51007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</w:t>
      </w:r>
      <w:r>
        <w:rPr>
          <w:rFonts w:hint="eastAsia"/>
          <w:szCs w:val="21"/>
          <w:lang w:eastAsia="zh-CN"/>
        </w:rPr>
        <w:t>51007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21GSGF51007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泸州兴阳投资集团有限公司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17川兴阳投资ZR001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476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1AD23648"/>
    <w:rsid w:val="3B5446DA"/>
    <w:rsid w:val="4032044F"/>
    <w:rsid w:val="42601BD1"/>
    <w:rsid w:val="483A1AD2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14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2021-06-07T01:56:46Z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679F2B722266441B92143CD4486107E5</vt:lpwstr>
  </property>
</Properties>
</file>